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jc w:val="left"/>
        <w:spacing w:before="0" w:after="0"/>
        <w:ind w:left="2680" w:right="2700" w:firstLine="0"/>
      </w:pPr>
      <w:r>
        <w:pict>
          <v:shapetype id="_x0000_t202" coordsize="21600,21600" o:spt="202" path="m,l,21600r21600,l21600,xe">
            <v:stroke joinstyle="miter"/>
            <v:path gradientshapeok="t" o:connecttype="rect"/>
          </v:shapetype>
          <v:shape id="_x0000_s1026" type="#_x0000_t202" style="position:absolute;margin-left:0.5pt;margin-top:49.65pt;width:167.5pt;height:151.95pt;z-index:-125829376;mso-wrap-distance-left:5.pt;mso-wrap-distance-top:0.2pt;mso-wrap-distance-right:304.3pt;mso-wrap-distance-bottom:12.95pt;mso-position-horizontal-relative:margin" filled="f" stroked="f">
            <v:textbox style="mso-fit-shape-to-text:t" inset="0,0,0,0">
              <w:txbxContent>
                <w:p>
                  <w:pPr>
                    <w:pStyle w:val="Style4"/>
                    <w:widowControl w:val="0"/>
                    <w:keepNext w:val="0"/>
                    <w:keepLines w:val="0"/>
                    <w:shd w:val="clear" w:color="auto" w:fill="auto"/>
                    <w:bidi w:val="0"/>
                    <w:jc w:val="left"/>
                    <w:spacing w:before="0" w:after="0"/>
                    <w:ind w:left="0" w:right="0" w:firstLine="0"/>
                  </w:pPr>
                  <w:r>
                    <w:rPr>
                      <w:rStyle w:val="CharStyle5"/>
                    </w:rPr>
                    <w:t>SHUNTAY ANTONIO BROWN, Plaintiff, v.</w:t>
                  </w:r>
                </w:p>
                <w:p>
                  <w:pPr>
                    <w:pStyle w:val="Style4"/>
                    <w:widowControl w:val="0"/>
                    <w:keepNext w:val="0"/>
                    <w:keepLines w:val="0"/>
                    <w:shd w:val="clear" w:color="auto" w:fill="auto"/>
                    <w:bidi w:val="0"/>
                    <w:jc w:val="left"/>
                    <w:spacing w:before="0" w:after="290" w:line="278" w:lineRule="exact"/>
                    <w:ind w:left="0" w:right="0" w:firstLine="0"/>
                  </w:pPr>
                  <w:r>
                    <w:rPr>
                      <w:rStyle w:val="CharStyle5"/>
                    </w:rPr>
                    <w:t xml:space="preserve">DISTRICT OF COLUMBIA HOUSING AUTHORITY </w:t>
                  </w:r>
                  <w:r>
                    <w:rPr>
                      <w:rStyle w:val="CharStyle6"/>
                    </w:rPr>
                    <w:t>et al,</w:t>
                  </w:r>
                </w:p>
                <w:p>
                  <w:pPr>
                    <w:pStyle w:val="Style4"/>
                    <w:widowControl w:val="0"/>
                    <w:keepNext w:val="0"/>
                    <w:keepLines w:val="0"/>
                    <w:shd w:val="clear" w:color="auto" w:fill="auto"/>
                    <w:bidi w:val="0"/>
                    <w:jc w:val="right"/>
                    <w:spacing w:before="0" w:after="0" w:line="266" w:lineRule="exact"/>
                    <w:ind w:left="0" w:right="0" w:firstLine="0"/>
                  </w:pPr>
                  <w:r>
                    <w:rPr>
                      <w:rStyle w:val="CharStyle5"/>
                    </w:rPr>
                    <w:t>Defendants.</w:t>
                  </w:r>
                </w:p>
              </w:txbxContent>
            </v:textbox>
            <w10:wrap type="topAndBottom" anchorx="margin"/>
          </v:shape>
        </w:pict>
      </w:r>
      <w:r>
        <w:pict>
          <v:shape id="_x0000_s1027" type="#_x0000_t202" style="position:absolute;margin-left:216.7pt;margin-top:49.45pt;width:193.9pt;height:167.15pt;z-index:-125829375;mso-wrap-distance-left:216.25pt;mso-wrap-distance-right:61.7pt;mso-position-horizontal-relative:margin" filled="f" stroked="f">
            <v:textbox style="mso-fit-shape-to-text:t" inset="0,0,0,0">
              <w:txbxContent>
                <w:p>
                  <w:pPr>
                    <w:pStyle w:val="Style4"/>
                    <w:widowControl w:val="0"/>
                    <w:keepNext w:val="0"/>
                    <w:keepLines w:val="0"/>
                    <w:shd w:val="clear" w:color="auto" w:fill="auto"/>
                    <w:bidi w:val="0"/>
                    <w:jc w:val="left"/>
                    <w:spacing w:before="0" w:after="0" w:line="266" w:lineRule="exact"/>
                    <w:ind w:left="0" w:right="0" w:firstLine="0"/>
                  </w:pPr>
                  <w:r>
                    <w:rPr>
                      <w:rStyle w:val="CharStyle5"/>
                    </w:rPr>
                    <w:t>)</w:t>
                  </w:r>
                </w:p>
                <w:p>
                  <w:pPr>
                    <w:pStyle w:val="Style4"/>
                    <w:widowControl w:val="0"/>
                    <w:keepNext w:val="0"/>
                    <w:keepLines w:val="0"/>
                    <w:shd w:val="clear" w:color="auto" w:fill="auto"/>
                    <w:bidi w:val="0"/>
                    <w:jc w:val="left"/>
                    <w:spacing w:before="0" w:after="0" w:line="274" w:lineRule="exact"/>
                    <w:ind w:left="0" w:right="0" w:firstLine="0"/>
                  </w:pPr>
                  <w:r>
                    <w:rPr>
                      <w:rStyle w:val="CharStyle5"/>
                    </w:rPr>
                    <w:t>)</w:t>
                  </w:r>
                </w:p>
                <w:p>
                  <w:pPr>
                    <w:pStyle w:val="Style4"/>
                    <w:widowControl w:val="0"/>
                    <w:keepNext w:val="0"/>
                    <w:keepLines w:val="0"/>
                    <w:shd w:val="clear" w:color="auto" w:fill="auto"/>
                    <w:bidi w:val="0"/>
                    <w:jc w:val="left"/>
                    <w:spacing w:before="0" w:after="0" w:line="274" w:lineRule="exact"/>
                    <w:ind w:left="0" w:right="0" w:firstLine="0"/>
                  </w:pPr>
                  <w:r>
                    <w:rPr>
                      <w:rStyle w:val="CharStyle5"/>
                    </w:rPr>
                    <w:t>)</w:t>
                  </w:r>
                </w:p>
                <w:p>
                  <w:pPr>
                    <w:pStyle w:val="Style4"/>
                    <w:widowControl w:val="0"/>
                    <w:keepNext w:val="0"/>
                    <w:keepLines w:val="0"/>
                    <w:shd w:val="clear" w:color="auto" w:fill="auto"/>
                    <w:bidi w:val="0"/>
                    <w:jc w:val="left"/>
                    <w:spacing w:before="0" w:after="0" w:line="274" w:lineRule="exact"/>
                    <w:ind w:left="0" w:right="0" w:firstLine="0"/>
                  </w:pPr>
                  <w:r>
                    <w:rPr>
                      <w:rStyle w:val="CharStyle5"/>
                    </w:rPr>
                    <w:t>)</w:t>
                  </w:r>
                </w:p>
                <w:p>
                  <w:pPr>
                    <w:pStyle w:val="Style4"/>
                    <w:widowControl w:val="0"/>
                    <w:keepNext w:val="0"/>
                    <w:keepLines w:val="0"/>
                    <w:shd w:val="clear" w:color="auto" w:fill="auto"/>
                    <w:bidi w:val="0"/>
                    <w:jc w:val="left"/>
                    <w:spacing w:before="0" w:after="0" w:line="274" w:lineRule="exact"/>
                    <w:ind w:left="0" w:right="0" w:firstLine="0"/>
                  </w:pPr>
                  <w:r>
                    <w:rPr>
                      <w:rStyle w:val="CharStyle5"/>
                      <w:vertAlign w:val="superscript"/>
                    </w:rPr>
                    <w:t>)</w:t>
                  </w:r>
                </w:p>
                <w:p>
                  <w:pPr>
                    <w:pStyle w:val="Style4"/>
                    <w:widowControl w:val="0"/>
                    <w:keepNext w:val="0"/>
                    <w:keepLines w:val="0"/>
                    <w:shd w:val="clear" w:color="auto" w:fill="auto"/>
                    <w:bidi w:val="0"/>
                    <w:jc w:val="left"/>
                    <w:spacing w:before="0" w:after="0" w:line="266" w:lineRule="exact"/>
                    <w:ind w:left="0" w:right="0" w:firstLine="0"/>
                  </w:pPr>
                  <w:r>
                    <w:rPr>
                      <w:rStyle w:val="CharStyle5"/>
                    </w:rPr>
                    <w:t>) Civil Action No. 16-1771 (ABJ)</w:t>
                  </w:r>
                </w:p>
                <w:p>
                  <w:pPr>
                    <w:pStyle w:val="Style4"/>
                    <w:widowControl w:val="0"/>
                    <w:keepNext w:val="0"/>
                    <w:keepLines w:val="0"/>
                    <w:shd w:val="clear" w:color="auto" w:fill="auto"/>
                    <w:bidi w:val="0"/>
                    <w:jc w:val="left"/>
                    <w:spacing w:before="0" w:after="0" w:line="266" w:lineRule="exact"/>
                    <w:ind w:left="0" w:right="0" w:firstLine="0"/>
                  </w:pPr>
                  <w:r>
                    <w:rPr>
                      <w:rStyle w:val="CharStyle5"/>
                      <w:vertAlign w:val="superscript"/>
                    </w:rPr>
                    <w:t>)</w:t>
                  </w:r>
                </w:p>
                <w:p>
                  <w:pPr>
                    <w:pStyle w:val="Style4"/>
                    <w:widowControl w:val="0"/>
                    <w:keepNext w:val="0"/>
                    <w:keepLines w:val="0"/>
                    <w:shd w:val="clear" w:color="auto" w:fill="auto"/>
                    <w:bidi w:val="0"/>
                    <w:jc w:val="left"/>
                    <w:spacing w:before="0" w:after="0" w:line="274" w:lineRule="exact"/>
                    <w:ind w:left="0" w:right="0" w:firstLine="0"/>
                  </w:pPr>
                  <w:r>
                    <w:rPr>
                      <w:rStyle w:val="CharStyle5"/>
                      <w:vertAlign w:val="superscript"/>
                    </w:rPr>
                    <w:t>)</w:t>
                  </w:r>
                </w:p>
                <w:p>
                  <w:pPr>
                    <w:pStyle w:val="Style4"/>
                    <w:widowControl w:val="0"/>
                    <w:keepNext w:val="0"/>
                    <w:keepLines w:val="0"/>
                    <w:shd w:val="clear" w:color="auto" w:fill="auto"/>
                    <w:bidi w:val="0"/>
                    <w:jc w:val="left"/>
                    <w:spacing w:before="0" w:after="0" w:line="274" w:lineRule="exact"/>
                    <w:ind w:left="0" w:right="0" w:firstLine="0"/>
                  </w:pPr>
                  <w:r>
                    <w:rPr>
                      <w:rStyle w:val="CharStyle5"/>
                      <w:vertAlign w:val="superscript"/>
                    </w:rPr>
                    <w:t>)</w:t>
                  </w:r>
                </w:p>
                <w:p>
                  <w:pPr>
                    <w:pStyle w:val="Style4"/>
                    <w:widowControl w:val="0"/>
                    <w:keepNext w:val="0"/>
                    <w:keepLines w:val="0"/>
                    <w:shd w:val="clear" w:color="auto" w:fill="auto"/>
                    <w:bidi w:val="0"/>
                    <w:jc w:val="left"/>
                    <w:spacing w:before="0" w:after="0" w:line="274" w:lineRule="exact"/>
                    <w:ind w:left="0" w:right="0" w:firstLine="0"/>
                  </w:pPr>
                  <w:r>
                    <w:rPr>
                      <w:rStyle w:val="CharStyle5"/>
                      <w:vertAlign w:val="superscript"/>
                    </w:rPr>
                    <w:t>)</w:t>
                  </w:r>
                </w:p>
                <w:p>
                  <w:pPr>
                    <w:pStyle w:val="Style4"/>
                    <w:widowControl w:val="0"/>
                    <w:keepNext w:val="0"/>
                    <w:keepLines w:val="0"/>
                    <w:shd w:val="clear" w:color="auto" w:fill="auto"/>
                    <w:bidi w:val="0"/>
                    <w:jc w:val="left"/>
                    <w:spacing w:before="0" w:after="0" w:line="274" w:lineRule="exact"/>
                    <w:ind w:left="0" w:right="0" w:firstLine="0"/>
                  </w:pPr>
                  <w:r>
                    <w:rPr>
                      <w:rStyle w:val="CharStyle5"/>
                      <w:vertAlign w:val="superscript"/>
                    </w:rPr>
                    <w:t>)</w:t>
                  </w:r>
                </w:p>
                <w:p>
                  <w:pPr>
                    <w:pStyle w:val="Style4"/>
                    <w:widowControl w:val="0"/>
                    <w:keepNext w:val="0"/>
                    <w:keepLines w:val="0"/>
                    <w:shd w:val="clear" w:color="auto" w:fill="auto"/>
                    <w:bidi w:val="0"/>
                    <w:jc w:val="left"/>
                    <w:spacing w:before="0" w:after="0" w:line="274" w:lineRule="exact"/>
                    <w:ind w:left="0" w:right="0" w:firstLine="0"/>
                  </w:pPr>
                  <w:r>
                    <w:rPr>
                      <w:rStyle w:val="CharStyle5"/>
                    </w:rPr>
                    <w:t>)</w:t>
                  </w:r>
                </w:p>
              </w:txbxContent>
            </v:textbox>
            <w10:wrap type="topAndBottom" anchorx="margin"/>
          </v:shape>
        </w:pict>
      </w:r>
      <w:r>
        <w:rPr>
          <w:lang w:val="en-US" w:eastAsia="en-US" w:bidi="en-US"/>
          <w:sz w:val="24"/>
          <w:szCs w:val="24"/>
          <w:rFonts w:ascii="Times New Roman" w:eastAsia="Times New Roman" w:hAnsi="Times New Roman" w:cs="Times New Roman"/>
          <w:w w:val="100"/>
          <w:spacing w:val="0"/>
          <w:color w:val="000000"/>
          <w:position w:val="0"/>
        </w:rPr>
        <w:t>UNITED STATES DISTRICT COURT FOR THE DISTRICT OF COLUMBIA</w:t>
      </w:r>
    </w:p>
    <w:p>
      <w:pPr>
        <w:pStyle w:val="Style7"/>
        <w:widowControl w:val="0"/>
        <w:keepNext w:val="0"/>
        <w:keepLines w:val="0"/>
        <w:shd w:val="clear" w:color="auto" w:fill="auto"/>
        <w:bidi w:val="0"/>
        <w:jc w:val="center"/>
        <w:spacing w:before="0" w:after="0" w:line="552" w:lineRule="exact"/>
        <w:ind w:left="20" w:right="0" w:firstLine="0"/>
      </w:pPr>
      <w:r>
        <w:rPr>
          <w:rStyle w:val="CharStyle12"/>
          <w:b/>
          <w:bCs/>
        </w:rPr>
        <w:t>MEMORANDUM OPINION</w:t>
      </w:r>
    </w:p>
    <w:p>
      <w:pPr>
        <w:pStyle w:val="Style4"/>
        <w:widowControl w:val="0"/>
        <w:keepNext w:val="0"/>
        <w:keepLines w:val="0"/>
        <w:shd w:val="clear" w:color="auto" w:fill="auto"/>
        <w:bidi w:val="0"/>
        <w:jc w:val="both"/>
        <w:spacing w:before="0" w:after="0"/>
        <w:ind w:left="0" w:right="0" w:firstLine="760"/>
      </w:pPr>
      <w:r>
        <w:rPr>
          <w:lang w:val="en-US" w:eastAsia="en-US" w:bidi="en-US"/>
          <w:sz w:val="24"/>
          <w:szCs w:val="24"/>
          <w:rFonts w:ascii="Times New Roman" w:eastAsia="Times New Roman" w:hAnsi="Times New Roman" w:cs="Times New Roman"/>
          <w:w w:val="100"/>
          <w:spacing w:val="0"/>
          <w:color w:val="000000"/>
          <w:position w:val="0"/>
        </w:rPr>
        <w:t xml:space="preserve">In August 2016, plaintiff, appearing </w:t>
      </w:r>
      <w:r>
        <w:rPr>
          <w:rStyle w:val="CharStyle14"/>
        </w:rPr>
        <w:t>pro se,</w:t>
      </w:r>
      <w:r>
        <w:rPr>
          <w:lang w:val="en-US" w:eastAsia="en-US" w:bidi="en-US"/>
          <w:sz w:val="24"/>
          <w:szCs w:val="24"/>
          <w:rFonts w:ascii="Times New Roman" w:eastAsia="Times New Roman" w:hAnsi="Times New Roman" w:cs="Times New Roman"/>
          <w:w w:val="100"/>
          <w:spacing w:val="0"/>
          <w:color w:val="000000"/>
          <w:position w:val="0"/>
        </w:rPr>
        <w:t xml:space="preserve"> submitted a document captioned “Plaintiffs’ Motion for Permanent Injunction and Declaratory Judgment Pursuant to Texas Department of</w:t>
      </w:r>
    </w:p>
    <w:p>
      <w:pPr>
        <w:pStyle w:val="Style4"/>
        <w:tabs>
          <w:tab w:leader="underscore" w:pos="8323" w:val="left"/>
        </w:tabs>
        <w:widowControl w:val="0"/>
        <w:keepNext w:val="0"/>
        <w:keepLines w:val="0"/>
        <w:shd w:val="clear" w:color="auto" w:fill="auto"/>
        <w:bidi w:val="0"/>
        <w:jc w:val="both"/>
        <w:spacing w:before="0" w:after="0"/>
        <w:ind w:left="0" w:right="0" w:firstLine="0"/>
      </w:pPr>
      <w:r>
        <w:rPr>
          <w:lang w:val="en-US" w:eastAsia="en-US" w:bidi="en-US"/>
          <w:sz w:val="24"/>
          <w:szCs w:val="24"/>
          <w:rFonts w:ascii="Times New Roman" w:eastAsia="Times New Roman" w:hAnsi="Times New Roman" w:cs="Times New Roman"/>
          <w:w w:val="100"/>
          <w:spacing w:val="0"/>
          <w:color w:val="000000"/>
          <w:position w:val="0"/>
        </w:rPr>
        <w:t>Housing and Community Affairs v. Inclusive Communities Project, Inc., 576 U.S.</w:t>
        <w:tab/>
        <w:t>, 2015 WL</w:t>
      </w:r>
    </w:p>
    <w:p>
      <w:pPr>
        <w:pStyle w:val="Style4"/>
        <w:widowControl w:val="0"/>
        <w:keepNext w:val="0"/>
        <w:keepLines w:val="0"/>
        <w:shd w:val="clear" w:color="auto" w:fill="auto"/>
        <w:bidi w:val="0"/>
        <w:jc w:val="both"/>
        <w:spacing w:before="0" w:after="0"/>
        <w:ind w:left="0" w:right="0" w:firstLine="0"/>
      </w:pPr>
      <w:r>
        <w:rPr>
          <w:lang w:val="en-US" w:eastAsia="en-US" w:bidi="en-US"/>
          <w:sz w:val="24"/>
          <w:szCs w:val="24"/>
          <w:rFonts w:ascii="Times New Roman" w:eastAsia="Times New Roman" w:hAnsi="Times New Roman" w:cs="Times New Roman"/>
          <w:w w:val="100"/>
          <w:spacing w:val="0"/>
          <w:color w:val="000000"/>
          <w:position w:val="0"/>
        </w:rPr>
        <w:t xml:space="preserve">2473449 (June 25, 2015),” which was construed as a complaint. </w:t>
      </w:r>
      <w:r>
        <w:rPr>
          <w:rStyle w:val="CharStyle14"/>
        </w:rPr>
        <w:t>See</w:t>
      </w:r>
      <w:r>
        <w:rPr>
          <w:lang w:val="en-US" w:eastAsia="en-US" w:bidi="en-US"/>
          <w:sz w:val="24"/>
          <w:szCs w:val="24"/>
          <w:rFonts w:ascii="Times New Roman" w:eastAsia="Times New Roman" w:hAnsi="Times New Roman" w:cs="Times New Roman"/>
          <w:w w:val="100"/>
          <w:spacing w:val="0"/>
          <w:color w:val="000000"/>
          <w:position w:val="0"/>
        </w:rPr>
        <w:t xml:space="preserve"> Order [Dkt. # 3]. Plaintiff alleges that the District of Columbia Housing Authority (“DCHA”) and Quality Housing Group LLC are responsible for unhealthy, unsafe and unsanitary conditions of Section 8 housing in the District of Columbia where plaintiff once lived.</w:t>
      </w:r>
      <w:hyperlink w:anchor="bookmark0" w:tooltip="Current Document">
        <w:r>
          <w:rPr>
            <w:lang w:val="en-US" w:eastAsia="en-US" w:bidi="en-US"/>
            <w:vertAlign w:val="superscript"/>
            <w:sz w:val="24"/>
            <w:szCs w:val="24"/>
            <w:rFonts w:ascii="Times New Roman" w:eastAsia="Times New Roman" w:hAnsi="Times New Roman" w:cs="Times New Roman"/>
            <w:w w:val="100"/>
            <w:spacing w:val="0"/>
            <w:color w:val="000000"/>
            <w:position w:val="0"/>
          </w:rPr>
          <w:footnoteReference w:id="2"/>
        </w:r>
        <w:r>
          <w:rPr>
            <w:lang w:val="en-US" w:eastAsia="en-US" w:bidi="en-US"/>
            <w:sz w:val="24"/>
            <w:szCs w:val="24"/>
            <w:rFonts w:ascii="Times New Roman" w:eastAsia="Times New Roman" w:hAnsi="Times New Roman" w:cs="Times New Roman"/>
            <w:w w:val="100"/>
            <w:spacing w:val="0"/>
            <w:color w:val="000000"/>
            <w:position w:val="0"/>
          </w:rPr>
          <w:t xml:space="preserve"> </w:t>
        </w:r>
      </w:hyperlink>
      <w:r>
        <w:rPr>
          <w:rStyle w:val="CharStyle14"/>
        </w:rPr>
        <w:t>See</w:t>
      </w:r>
      <w:r>
        <w:rPr>
          <w:lang w:val="en-US" w:eastAsia="en-US" w:bidi="en-US"/>
          <w:sz w:val="24"/>
          <w:szCs w:val="24"/>
          <w:rFonts w:ascii="Times New Roman" w:eastAsia="Times New Roman" w:hAnsi="Times New Roman" w:cs="Times New Roman"/>
          <w:w w:val="100"/>
          <w:spacing w:val="0"/>
          <w:color w:val="000000"/>
          <w:position w:val="0"/>
        </w:rPr>
        <w:t xml:space="preserve"> Compl. Attach. A. Plaintiff claims that such conditions violate the Fair Housing Act, the Americans with Disabilities Act, the Rehabilitation Act of 1973, and various District of Columbia laws. He seeks “a permanent injunction to remedy the health, safety, sanitation, staffing, and treatment issues that cause irreparable deprivations of each tenant’s rights” and “a declaratory judgment that Defendants</w:t>
        <w:br w:type="page"/>
        <w:t>[have] violated and continues to violate tenants’ Civil and statutory rights under the Fair Housing Act.” Compl. at ECF p. 4.</w:t>
      </w:r>
    </w:p>
    <w:p>
      <w:pPr>
        <w:pStyle w:val="Style4"/>
        <w:widowControl w:val="0"/>
        <w:keepNext w:val="0"/>
        <w:keepLines w:val="0"/>
        <w:shd w:val="clear" w:color="auto" w:fill="auto"/>
        <w:bidi w:val="0"/>
        <w:jc w:val="both"/>
        <w:spacing w:before="0" w:after="0" w:line="547" w:lineRule="exact"/>
        <w:ind w:left="0" w:right="0" w:firstLine="780"/>
      </w:pPr>
      <w:r>
        <w:rPr>
          <w:lang w:val="en-US" w:eastAsia="en-US" w:bidi="en-US"/>
          <w:sz w:val="24"/>
          <w:szCs w:val="24"/>
          <w:rFonts w:ascii="Times New Roman" w:eastAsia="Times New Roman" w:hAnsi="Times New Roman" w:cs="Times New Roman"/>
          <w:w w:val="100"/>
          <w:spacing w:val="0"/>
          <w:color w:val="000000"/>
          <w:position w:val="0"/>
        </w:rPr>
        <w:t xml:space="preserve">DCHA has moved to dismiss the complaint on the grounds that plaintiff lacks standing and has failed to state a claim upon which relief can be granted. The court agrees that plaintiff has not established his standing to sue, and “the defect of standing is a defect in subject matter jurisdiction.” </w:t>
      </w:r>
      <w:r>
        <w:rPr>
          <w:rStyle w:val="CharStyle14"/>
        </w:rPr>
        <w:t>Haase v. Sessions,</w:t>
      </w:r>
      <w:r>
        <w:rPr>
          <w:lang w:val="en-US" w:eastAsia="en-US" w:bidi="en-US"/>
          <w:sz w:val="24"/>
          <w:szCs w:val="24"/>
          <w:rFonts w:ascii="Times New Roman" w:eastAsia="Times New Roman" w:hAnsi="Times New Roman" w:cs="Times New Roman"/>
          <w:w w:val="100"/>
          <w:spacing w:val="0"/>
          <w:color w:val="000000"/>
          <w:position w:val="0"/>
        </w:rPr>
        <w:t xml:space="preserve"> 835 F.2d 902, 906 (D.C. Cir. 1987). In addition, since plaintiff is no longer a tenant in the District of Columbia, and cannot pursue the claims of other tenants, this action is moot, which, too, is a jurisdictional defect. </w:t>
      </w:r>
      <w:r>
        <w:rPr>
          <w:rStyle w:val="CharStyle14"/>
        </w:rPr>
        <w:t>United States v. Philip Morris USA, Inc,</w:t>
      </w:r>
      <w:r>
        <w:rPr>
          <w:lang w:val="en-US" w:eastAsia="en-US" w:bidi="en-US"/>
          <w:sz w:val="24"/>
          <w:szCs w:val="24"/>
          <w:rFonts w:ascii="Times New Roman" w:eastAsia="Times New Roman" w:hAnsi="Times New Roman" w:cs="Times New Roman"/>
          <w:w w:val="100"/>
          <w:spacing w:val="0"/>
          <w:color w:val="000000"/>
          <w:position w:val="0"/>
        </w:rPr>
        <w:t xml:space="preserve"> 566 F.3d 1095, 1135 (D.C. Cir. 2009). So the court will dismiss the case solely on those grounds. For “the rule is strict that once a court determines that it lacks subject matter jurisdiction, it can proceed no further.” </w:t>
      </w:r>
      <w:r>
        <w:rPr>
          <w:rStyle w:val="CharStyle14"/>
        </w:rPr>
        <w:t>Simpkins v. D.C. Gov't,</w:t>
      </w:r>
      <w:r>
        <w:rPr>
          <w:lang w:val="en-US" w:eastAsia="en-US" w:bidi="en-US"/>
          <w:sz w:val="24"/>
          <w:szCs w:val="24"/>
          <w:rFonts w:ascii="Times New Roman" w:eastAsia="Times New Roman" w:hAnsi="Times New Roman" w:cs="Times New Roman"/>
          <w:w w:val="100"/>
          <w:spacing w:val="0"/>
          <w:color w:val="000000"/>
          <w:position w:val="0"/>
        </w:rPr>
        <w:t xml:space="preserve"> 108 F.3d 366, 371 (D.C. Cir. 1997).</w:t>
      </w:r>
    </w:p>
    <w:p>
      <w:pPr>
        <w:pStyle w:val="Style7"/>
        <w:widowControl w:val="0"/>
        <w:keepNext w:val="0"/>
        <w:keepLines w:val="0"/>
        <w:shd w:val="clear" w:color="auto" w:fill="auto"/>
        <w:bidi w:val="0"/>
        <w:jc w:val="center"/>
        <w:spacing w:before="0" w:after="0" w:line="547" w:lineRule="exact"/>
        <w:ind w:left="0" w:right="0" w:firstLine="0"/>
      </w:pPr>
      <w:r>
        <w:rPr>
          <w:lang w:val="en-US" w:eastAsia="en-US" w:bidi="en-US"/>
          <w:sz w:val="24"/>
          <w:szCs w:val="24"/>
          <w:rFonts w:ascii="Times New Roman" w:eastAsia="Times New Roman" w:hAnsi="Times New Roman" w:cs="Times New Roman"/>
          <w:w w:val="100"/>
          <w:spacing w:val="0"/>
          <w:color w:val="000000"/>
          <w:position w:val="0"/>
        </w:rPr>
        <w:t>LEGAL STANDARD</w:t>
      </w:r>
    </w:p>
    <w:p>
      <w:pPr>
        <w:pStyle w:val="Style4"/>
        <w:widowControl w:val="0"/>
        <w:keepNext w:val="0"/>
        <w:keepLines w:val="0"/>
        <w:shd w:val="clear" w:color="auto" w:fill="auto"/>
        <w:bidi w:val="0"/>
        <w:jc w:val="both"/>
        <w:spacing w:before="0" w:after="0" w:line="547" w:lineRule="exact"/>
        <w:ind w:left="0" w:right="0" w:firstLine="780"/>
      </w:pPr>
      <w:r>
        <w:rPr>
          <w:lang w:val="en-US" w:eastAsia="en-US" w:bidi="en-US"/>
          <w:sz w:val="24"/>
          <w:szCs w:val="24"/>
          <w:rFonts w:ascii="Times New Roman" w:eastAsia="Times New Roman" w:hAnsi="Times New Roman" w:cs="Times New Roman"/>
          <w:w w:val="100"/>
          <w:spacing w:val="0"/>
          <w:color w:val="000000"/>
          <w:position w:val="0"/>
        </w:rPr>
        <w:t xml:space="preserve">“Federal courts are courts of limited jurisdiction. They possess only that power authorized by Constitution and statute, which is not to be expanded by judicial decree. It is to be presumed that a cause lies outside this limited jurisdiction, and the burden of establishing the contrary rests upon the party asserting jurisdiction.” </w:t>
      </w:r>
      <w:r>
        <w:rPr>
          <w:rStyle w:val="CharStyle14"/>
        </w:rPr>
        <w:t xml:space="preserve">Kokkonen v. Guardian Life Ins. Co. of Am., </w:t>
      </w:r>
      <w:r>
        <w:rPr>
          <w:lang w:val="en-US" w:eastAsia="en-US" w:bidi="en-US"/>
          <w:sz w:val="24"/>
          <w:szCs w:val="24"/>
          <w:rFonts w:ascii="Times New Roman" w:eastAsia="Times New Roman" w:hAnsi="Times New Roman" w:cs="Times New Roman"/>
          <w:w w:val="100"/>
          <w:spacing w:val="0"/>
          <w:color w:val="000000"/>
          <w:position w:val="0"/>
        </w:rPr>
        <w:t xml:space="preserve">511 U.S. 375, 377 (1994) (internal citations omitted). Article III, section 2 of the Constitution permits federal courts to adjudicate only “actual, ongoing controversies.” </w:t>
      </w:r>
      <w:r>
        <w:rPr>
          <w:rStyle w:val="CharStyle14"/>
        </w:rPr>
        <w:t>Honig v. Doe,</w:t>
      </w:r>
      <w:r>
        <w:rPr>
          <w:lang w:val="en-US" w:eastAsia="en-US" w:bidi="en-US"/>
          <w:sz w:val="24"/>
          <w:szCs w:val="24"/>
          <w:rFonts w:ascii="Times New Roman" w:eastAsia="Times New Roman" w:hAnsi="Times New Roman" w:cs="Times New Roman"/>
          <w:w w:val="100"/>
          <w:spacing w:val="0"/>
          <w:color w:val="000000"/>
          <w:position w:val="0"/>
        </w:rPr>
        <w:t xml:space="preserve"> 484 U.S. 305, 317 (1988). “This limitation gives rise to the doctrines of standing and mootness.” </w:t>
      </w:r>
      <w:r>
        <w:rPr>
          <w:rStyle w:val="CharStyle14"/>
        </w:rPr>
        <w:t>Foretich v. United States,</w:t>
      </w:r>
      <w:r>
        <w:rPr>
          <w:lang w:val="en-US" w:eastAsia="en-US" w:bidi="en-US"/>
          <w:sz w:val="24"/>
          <w:szCs w:val="24"/>
          <w:rFonts w:ascii="Times New Roman" w:eastAsia="Times New Roman" w:hAnsi="Times New Roman" w:cs="Times New Roman"/>
          <w:w w:val="100"/>
          <w:spacing w:val="0"/>
          <w:color w:val="000000"/>
          <w:position w:val="0"/>
        </w:rPr>
        <w:t xml:space="preserve"> 351 F.3d 1198, 1210 (D.C. Cir. 2003).</w:t>
      </w:r>
    </w:p>
    <w:p>
      <w:pPr>
        <w:pStyle w:val="Style15"/>
        <w:numPr>
          <w:ilvl w:val="0"/>
          <w:numId w:val="1"/>
        </w:numPr>
        <w:tabs>
          <w:tab w:leader="none" w:pos="274" w:val="left"/>
        </w:tabs>
        <w:widowControl w:val="0"/>
        <w:keepNext/>
        <w:keepLines/>
        <w:shd w:val="clear" w:color="auto" w:fill="auto"/>
        <w:bidi w:val="0"/>
        <w:jc w:val="left"/>
        <w:spacing w:before="0" w:after="0"/>
        <w:ind w:left="0" w:right="0" w:firstLine="0"/>
      </w:pPr>
      <w:bookmarkStart w:id="1" w:name="bookmark1"/>
      <w:r>
        <w:rPr>
          <w:lang w:val="en-US" w:eastAsia="en-US" w:bidi="en-US"/>
          <w:sz w:val="24"/>
          <w:szCs w:val="24"/>
          <w:rFonts w:ascii="Times New Roman" w:eastAsia="Times New Roman" w:hAnsi="Times New Roman" w:cs="Times New Roman"/>
          <w:w w:val="100"/>
          <w:spacing w:val="0"/>
          <w:color w:val="000000"/>
          <w:position w:val="0"/>
        </w:rPr>
        <w:t>Article III Standing</w:t>
      </w:r>
      <w:bookmarkEnd w:id="1"/>
    </w:p>
    <w:p>
      <w:pPr>
        <w:pStyle w:val="Style4"/>
        <w:widowControl w:val="0"/>
        <w:keepNext w:val="0"/>
        <w:keepLines w:val="0"/>
        <w:shd w:val="clear" w:color="auto" w:fill="auto"/>
        <w:bidi w:val="0"/>
        <w:jc w:val="both"/>
        <w:spacing w:before="0" w:after="0" w:line="547" w:lineRule="exact"/>
        <w:ind w:left="0" w:right="0" w:firstLine="800"/>
      </w:pPr>
      <w:r>
        <w:rPr>
          <w:lang w:val="en-US" w:eastAsia="en-US" w:bidi="en-US"/>
          <w:sz w:val="24"/>
          <w:szCs w:val="24"/>
          <w:rFonts w:ascii="Times New Roman" w:eastAsia="Times New Roman" w:hAnsi="Times New Roman" w:cs="Times New Roman"/>
          <w:w w:val="100"/>
          <w:spacing w:val="0"/>
          <w:color w:val="000000"/>
          <w:position w:val="0"/>
        </w:rPr>
        <w:t xml:space="preserve">To invoke federal jurisdiction, a party must allege an actual case or controversy to overcome the threshold requirement imposed by Article III of the Constitution. </w:t>
      </w:r>
      <w:r>
        <w:rPr>
          <w:rStyle w:val="CharStyle14"/>
        </w:rPr>
        <w:t>City of Los Angeles v. Lyons,</w:t>
      </w:r>
      <w:r>
        <w:rPr>
          <w:lang w:val="en-US" w:eastAsia="en-US" w:bidi="en-US"/>
          <w:sz w:val="24"/>
          <w:szCs w:val="24"/>
          <w:rFonts w:ascii="Times New Roman" w:eastAsia="Times New Roman" w:hAnsi="Times New Roman" w:cs="Times New Roman"/>
          <w:w w:val="100"/>
          <w:spacing w:val="0"/>
          <w:color w:val="000000"/>
          <w:position w:val="0"/>
        </w:rPr>
        <w:t xml:space="preserve"> 461 U.S. 95, 101 (1983). “To state a case or controversy under Article III, a plaintiff must establish standing.” </w:t>
      </w:r>
      <w:r>
        <w:rPr>
          <w:rStyle w:val="CharStyle14"/>
        </w:rPr>
        <w:t>Ariz. Christian Sch. Tuition Org. v. Winn,</w:t>
      </w:r>
      <w:r>
        <w:rPr>
          <w:lang w:val="en-US" w:eastAsia="en-US" w:bidi="en-US"/>
          <w:sz w:val="24"/>
          <w:szCs w:val="24"/>
          <w:rFonts w:ascii="Times New Roman" w:eastAsia="Times New Roman" w:hAnsi="Times New Roman" w:cs="Times New Roman"/>
          <w:w w:val="100"/>
          <w:spacing w:val="0"/>
          <w:color w:val="000000"/>
          <w:position w:val="0"/>
        </w:rPr>
        <w:t xml:space="preserve"> 536 U.S. 125, —, 131 S.Ct. 1436, 1442 (2011); </w:t>
      </w:r>
      <w:r>
        <w:rPr>
          <w:rStyle w:val="CharStyle14"/>
        </w:rPr>
        <w:t>see also Lujan v. Defs. of Wildlife,</w:t>
      </w:r>
      <w:r>
        <w:rPr>
          <w:lang w:val="en-US" w:eastAsia="en-US" w:bidi="en-US"/>
          <w:sz w:val="24"/>
          <w:szCs w:val="24"/>
          <w:rFonts w:ascii="Times New Roman" w:eastAsia="Times New Roman" w:hAnsi="Times New Roman" w:cs="Times New Roman"/>
          <w:w w:val="100"/>
          <w:spacing w:val="0"/>
          <w:color w:val="000000"/>
          <w:position w:val="0"/>
        </w:rPr>
        <w:t xml:space="preserve"> 504 U.S. 555, 560 (1992). Standing is a necessary predicate to any exercise of federal jurisdiction, and if it is lacking, then the dispute is not a proper case or controversy under Article III, and federal courts do not have subject matter jurisdiction to decide the case. </w:t>
      </w:r>
      <w:r>
        <w:rPr>
          <w:rStyle w:val="CharStyle14"/>
        </w:rPr>
        <w:t>Dominguez v. UAL Corp,</w:t>
      </w:r>
      <w:r>
        <w:rPr>
          <w:lang w:val="en-US" w:eastAsia="en-US" w:bidi="en-US"/>
          <w:sz w:val="24"/>
          <w:szCs w:val="24"/>
          <w:rFonts w:ascii="Times New Roman" w:eastAsia="Times New Roman" w:hAnsi="Times New Roman" w:cs="Times New Roman"/>
          <w:w w:val="100"/>
          <w:spacing w:val="0"/>
          <w:color w:val="000000"/>
          <w:position w:val="0"/>
        </w:rPr>
        <w:t xml:space="preserve"> 666 F.3d 1359, 1361 (D.C. Cir. 2012). “When there is doubt about a party’s constitutional standing, the court must resolve the doubt, </w:t>
      </w:r>
      <w:r>
        <w:rPr>
          <w:rStyle w:val="CharStyle14"/>
        </w:rPr>
        <w:t>sua sponte</w:t>
      </w:r>
      <w:r>
        <w:rPr>
          <w:lang w:val="en-US" w:eastAsia="en-US" w:bidi="en-US"/>
          <w:sz w:val="24"/>
          <w:szCs w:val="24"/>
          <w:rFonts w:ascii="Times New Roman" w:eastAsia="Times New Roman" w:hAnsi="Times New Roman" w:cs="Times New Roman"/>
          <w:w w:val="100"/>
          <w:spacing w:val="0"/>
          <w:color w:val="000000"/>
          <w:position w:val="0"/>
        </w:rPr>
        <w:t xml:space="preserve"> if need be.” </w:t>
      </w:r>
      <w:r>
        <w:rPr>
          <w:rStyle w:val="CharStyle14"/>
        </w:rPr>
        <w:t>Lee’s Summit v. Surface Transp. Bd,</w:t>
      </w:r>
      <w:r>
        <w:rPr>
          <w:lang w:val="en-US" w:eastAsia="en-US" w:bidi="en-US"/>
          <w:sz w:val="24"/>
          <w:szCs w:val="24"/>
          <w:rFonts w:ascii="Times New Roman" w:eastAsia="Times New Roman" w:hAnsi="Times New Roman" w:cs="Times New Roman"/>
          <w:w w:val="100"/>
          <w:spacing w:val="0"/>
          <w:color w:val="000000"/>
          <w:position w:val="0"/>
        </w:rPr>
        <w:t xml:space="preserve"> 231 F.3d 39, 41 (D.C. Cir. 2000).</w:t>
      </w:r>
    </w:p>
    <w:p>
      <w:pPr>
        <w:pStyle w:val="Style4"/>
        <w:widowControl w:val="0"/>
        <w:keepNext w:val="0"/>
        <w:keepLines w:val="0"/>
        <w:shd w:val="clear" w:color="auto" w:fill="auto"/>
        <w:bidi w:val="0"/>
        <w:jc w:val="both"/>
        <w:spacing w:before="0" w:after="0" w:line="547" w:lineRule="exact"/>
        <w:ind w:left="0" w:right="0" w:firstLine="800"/>
      </w:pPr>
      <w:r>
        <w:rPr>
          <w:lang w:val="en-US" w:eastAsia="en-US" w:bidi="en-US"/>
          <w:sz w:val="24"/>
          <w:szCs w:val="24"/>
          <w:rFonts w:ascii="Times New Roman" w:eastAsia="Times New Roman" w:hAnsi="Times New Roman" w:cs="Times New Roman"/>
          <w:w w:val="100"/>
          <w:spacing w:val="0"/>
          <w:color w:val="000000"/>
          <w:position w:val="0"/>
        </w:rPr>
        <w:t xml:space="preserve">To determine jurisdiction, the court looks to the face of the complaint. </w:t>
      </w:r>
      <w:r>
        <w:rPr>
          <w:rStyle w:val="CharStyle14"/>
        </w:rPr>
        <w:t>Haase,</w:t>
      </w:r>
      <w:r>
        <w:rPr>
          <w:lang w:val="en-US" w:eastAsia="en-US" w:bidi="en-US"/>
          <w:sz w:val="24"/>
          <w:szCs w:val="24"/>
          <w:rFonts w:ascii="Times New Roman" w:eastAsia="Times New Roman" w:hAnsi="Times New Roman" w:cs="Times New Roman"/>
          <w:w w:val="100"/>
          <w:spacing w:val="0"/>
          <w:color w:val="000000"/>
          <w:position w:val="0"/>
        </w:rPr>
        <w:t xml:space="preserve"> 835 F.2d at 908. To comply with the Article III standing requirements, a plaintiff must show that: “(1) it has suffered an ‘injury in fact’ that is (a) concrete and particularized and (b) actual or imminent, not conjectural or hypothetical; (2) the injury is fairly traceable to the challenged action of the defendant; and (3) it is likely, as opposed to merely speculative, that the injury will be redressed by a favorable decision.” </w:t>
      </w:r>
      <w:r>
        <w:rPr>
          <w:rStyle w:val="CharStyle14"/>
        </w:rPr>
        <w:t>Friends of the Earth, Inc. v. Laidlaw Envtl. Servs.,</w:t>
      </w:r>
      <w:r>
        <w:rPr>
          <w:lang w:val="en-US" w:eastAsia="en-US" w:bidi="en-US"/>
          <w:sz w:val="24"/>
          <w:szCs w:val="24"/>
          <w:rFonts w:ascii="Times New Roman" w:eastAsia="Times New Roman" w:hAnsi="Times New Roman" w:cs="Times New Roman"/>
          <w:w w:val="100"/>
          <w:spacing w:val="0"/>
          <w:color w:val="000000"/>
          <w:position w:val="0"/>
        </w:rPr>
        <w:t xml:space="preserve"> 528 U.S. 167, 180</w:t>
        <w:softHyphen/>
        <w:t xml:space="preserve">81 (2000). Since the elements of standing are “an indispensable part of the plaintiffs case, each element must be supported in the same way as any other matter on which the plaintiff bears the burden of proof, </w:t>
      </w:r>
      <w:r>
        <w:rPr>
          <w:rStyle w:val="CharStyle14"/>
        </w:rPr>
        <w:t>i.e,</w:t>
      </w:r>
      <w:r>
        <w:rPr>
          <w:lang w:val="en-US" w:eastAsia="en-US" w:bidi="en-US"/>
          <w:sz w:val="24"/>
          <w:szCs w:val="24"/>
          <w:rFonts w:ascii="Times New Roman" w:eastAsia="Times New Roman" w:hAnsi="Times New Roman" w:cs="Times New Roman"/>
          <w:w w:val="100"/>
          <w:spacing w:val="0"/>
          <w:color w:val="000000"/>
          <w:position w:val="0"/>
        </w:rPr>
        <w:t xml:space="preserve"> with the manner and degree of evidence required at the successive stages of the litigation.” </w:t>
      </w:r>
      <w:r>
        <w:rPr>
          <w:rStyle w:val="CharStyle14"/>
        </w:rPr>
        <w:t>Lujan,</w:t>
      </w:r>
      <w:r>
        <w:rPr>
          <w:lang w:val="en-US" w:eastAsia="en-US" w:bidi="en-US"/>
          <w:sz w:val="24"/>
          <w:szCs w:val="24"/>
          <w:rFonts w:ascii="Times New Roman" w:eastAsia="Times New Roman" w:hAnsi="Times New Roman" w:cs="Times New Roman"/>
          <w:w w:val="100"/>
          <w:spacing w:val="0"/>
          <w:color w:val="000000"/>
          <w:position w:val="0"/>
        </w:rPr>
        <w:t xml:space="preserve"> 504 U.S. at 561.</w:t>
      </w:r>
    </w:p>
    <w:p>
      <w:pPr>
        <w:pStyle w:val="Style15"/>
        <w:numPr>
          <w:ilvl w:val="0"/>
          <w:numId w:val="1"/>
        </w:numPr>
        <w:tabs>
          <w:tab w:leader="none" w:pos="370" w:val="left"/>
        </w:tabs>
        <w:widowControl w:val="0"/>
        <w:keepNext/>
        <w:keepLines/>
        <w:shd w:val="clear" w:color="auto" w:fill="auto"/>
        <w:bidi w:val="0"/>
        <w:jc w:val="left"/>
        <w:spacing w:before="0" w:after="55" w:line="266" w:lineRule="exact"/>
        <w:ind w:left="0" w:right="0" w:firstLine="0"/>
      </w:pPr>
      <w:bookmarkStart w:id="2" w:name="bookmark2"/>
      <w:r>
        <w:rPr>
          <w:lang w:val="en-US" w:eastAsia="en-US" w:bidi="en-US"/>
          <w:sz w:val="24"/>
          <w:szCs w:val="24"/>
          <w:rFonts w:ascii="Times New Roman" w:eastAsia="Times New Roman" w:hAnsi="Times New Roman" w:cs="Times New Roman"/>
          <w:w w:val="100"/>
          <w:spacing w:val="0"/>
          <w:color w:val="000000"/>
          <w:position w:val="0"/>
        </w:rPr>
        <w:t>Mootness</w:t>
      </w:r>
      <w:bookmarkEnd w:id="2"/>
    </w:p>
    <w:p>
      <w:pPr>
        <w:pStyle w:val="Style4"/>
        <w:widowControl w:val="0"/>
        <w:keepNext w:val="0"/>
        <w:keepLines w:val="0"/>
        <w:shd w:val="clear" w:color="auto" w:fill="auto"/>
        <w:bidi w:val="0"/>
        <w:jc w:val="both"/>
        <w:spacing w:before="0" w:after="0" w:line="547" w:lineRule="exact"/>
        <w:ind w:left="0" w:right="0" w:firstLine="760"/>
      </w:pPr>
      <w:r>
        <w:rPr>
          <w:lang w:val="en-US" w:eastAsia="en-US" w:bidi="en-US"/>
          <w:sz w:val="24"/>
          <w:szCs w:val="24"/>
          <w:rFonts w:ascii="Times New Roman" w:eastAsia="Times New Roman" w:hAnsi="Times New Roman" w:cs="Times New Roman"/>
          <w:w w:val="100"/>
          <w:spacing w:val="0"/>
          <w:color w:val="000000"/>
          <w:position w:val="0"/>
        </w:rPr>
        <w:t xml:space="preserve">A case is moot if “events have so transpired that the decision will neither presently affect the parties’ rights nor have a more-than-speculative chance of affecting them in the future.” </w:t>
      </w:r>
      <w:r>
        <w:rPr>
          <w:rStyle w:val="CharStyle14"/>
        </w:rPr>
        <w:t>Clarke v. United States,</w:t>
      </w:r>
      <w:r>
        <w:rPr>
          <w:lang w:val="en-US" w:eastAsia="en-US" w:bidi="en-US"/>
          <w:sz w:val="24"/>
          <w:szCs w:val="24"/>
          <w:rFonts w:ascii="Times New Roman" w:eastAsia="Times New Roman" w:hAnsi="Times New Roman" w:cs="Times New Roman"/>
          <w:w w:val="100"/>
          <w:spacing w:val="0"/>
          <w:color w:val="000000"/>
          <w:position w:val="0"/>
        </w:rPr>
        <w:t xml:space="preserve"> 915 F.2d 699 (D.C. Cir. 1990). “It has long been settled that a federal court has no authority to give opinions upon moot questions or abstract propositions, or to declare principles or rules of law which cannot affect the matter in issue in the case before it.” </w:t>
      </w:r>
      <w:r>
        <w:rPr>
          <w:rStyle w:val="CharStyle14"/>
        </w:rPr>
        <w:t>Sierra Club v. Jackson,</w:t>
      </w:r>
      <w:r>
        <w:rPr>
          <w:lang w:val="en-US" w:eastAsia="en-US" w:bidi="en-US"/>
          <w:sz w:val="24"/>
          <w:szCs w:val="24"/>
          <w:rFonts w:ascii="Times New Roman" w:eastAsia="Times New Roman" w:hAnsi="Times New Roman" w:cs="Times New Roman"/>
          <w:w w:val="100"/>
          <w:spacing w:val="0"/>
          <w:color w:val="000000"/>
          <w:position w:val="0"/>
        </w:rPr>
        <w:t xml:space="preserve"> 648 F.3d 848, 852 (D.C. Cir. 2011) (internal quotation marks omitted), quoting </w:t>
      </w:r>
      <w:r>
        <w:rPr>
          <w:rStyle w:val="CharStyle14"/>
        </w:rPr>
        <w:t>Church of Scientology v. United States,</w:t>
      </w:r>
      <w:r>
        <w:rPr>
          <w:lang w:val="en-US" w:eastAsia="en-US" w:bidi="en-US"/>
          <w:sz w:val="24"/>
          <w:szCs w:val="24"/>
          <w:rFonts w:ascii="Times New Roman" w:eastAsia="Times New Roman" w:hAnsi="Times New Roman" w:cs="Times New Roman"/>
          <w:w w:val="100"/>
          <w:spacing w:val="0"/>
          <w:color w:val="000000"/>
          <w:position w:val="0"/>
        </w:rPr>
        <w:t xml:space="preserve"> 506 U.S. 9, 12 (1992).</w:t>
      </w:r>
    </w:p>
    <w:p>
      <w:pPr>
        <w:pStyle w:val="Style15"/>
        <w:widowControl w:val="0"/>
        <w:keepNext/>
        <w:keepLines/>
        <w:shd w:val="clear" w:color="auto" w:fill="auto"/>
        <w:bidi w:val="0"/>
        <w:jc w:val="center"/>
        <w:spacing w:before="0" w:after="0"/>
        <w:ind w:left="0" w:right="0" w:firstLine="0"/>
      </w:pPr>
      <w:bookmarkStart w:id="3" w:name="bookmark3"/>
      <w:r>
        <w:rPr>
          <w:lang w:val="en-US" w:eastAsia="en-US" w:bidi="en-US"/>
          <w:sz w:val="24"/>
          <w:szCs w:val="24"/>
          <w:rFonts w:ascii="Times New Roman" w:eastAsia="Times New Roman" w:hAnsi="Times New Roman" w:cs="Times New Roman"/>
          <w:w w:val="100"/>
          <w:spacing w:val="0"/>
          <w:color w:val="000000"/>
          <w:position w:val="0"/>
        </w:rPr>
        <w:t>ANALYSIS</w:t>
      </w:r>
      <w:bookmarkEnd w:id="3"/>
    </w:p>
    <w:p>
      <w:pPr>
        <w:pStyle w:val="Style15"/>
        <w:widowControl w:val="0"/>
        <w:keepNext/>
        <w:keepLines/>
        <w:shd w:val="clear" w:color="auto" w:fill="auto"/>
        <w:bidi w:val="0"/>
        <w:jc w:val="left"/>
        <w:spacing w:before="0" w:after="0"/>
        <w:ind w:left="0" w:right="0" w:firstLine="0"/>
      </w:pPr>
      <w:bookmarkStart w:id="4" w:name="bookmark4"/>
      <w:r>
        <w:rPr>
          <w:lang w:val="en-US" w:eastAsia="en-US" w:bidi="en-US"/>
          <w:sz w:val="24"/>
          <w:szCs w:val="24"/>
          <w:rFonts w:ascii="Times New Roman" w:eastAsia="Times New Roman" w:hAnsi="Times New Roman" w:cs="Times New Roman"/>
          <w:w w:val="100"/>
          <w:spacing w:val="0"/>
          <w:color w:val="000000"/>
          <w:position w:val="0"/>
        </w:rPr>
        <w:t>I. Section 8 Housing Program</w:t>
      </w:r>
      <w:bookmarkEnd w:id="4"/>
    </w:p>
    <w:p>
      <w:pPr>
        <w:pStyle w:val="Style4"/>
        <w:widowControl w:val="0"/>
        <w:keepNext w:val="0"/>
        <w:keepLines w:val="0"/>
        <w:shd w:val="clear" w:color="auto" w:fill="auto"/>
        <w:bidi w:val="0"/>
        <w:jc w:val="both"/>
        <w:spacing w:before="0" w:after="0" w:line="547" w:lineRule="exact"/>
        <w:ind w:left="0" w:right="0" w:firstLine="760"/>
      </w:pPr>
      <w:r>
        <w:rPr>
          <w:lang w:val="en-US" w:eastAsia="en-US" w:bidi="en-US"/>
          <w:sz w:val="24"/>
          <w:szCs w:val="24"/>
          <w:rFonts w:ascii="Times New Roman" w:eastAsia="Times New Roman" w:hAnsi="Times New Roman" w:cs="Times New Roman"/>
          <w:w w:val="100"/>
          <w:spacing w:val="0"/>
          <w:color w:val="000000"/>
          <w:position w:val="0"/>
        </w:rPr>
        <w:t xml:space="preserve">“The Section 8 Housing Choice Voucher Program was created by Congress under Section 8 of the Housing and Urban-Rural Recovery Act of 1983, which amended the United States Housing Act of 1937.” </w:t>
      </w:r>
      <w:r>
        <w:rPr>
          <w:rStyle w:val="CharStyle14"/>
        </w:rPr>
        <w:t>Robinson v. D.C. Hous. Auth.,</w:t>
      </w:r>
      <w:r>
        <w:rPr>
          <w:lang w:val="en-US" w:eastAsia="en-US" w:bidi="en-US"/>
          <w:sz w:val="24"/>
          <w:szCs w:val="24"/>
          <w:rFonts w:ascii="Times New Roman" w:eastAsia="Times New Roman" w:hAnsi="Times New Roman" w:cs="Times New Roman"/>
          <w:w w:val="100"/>
          <w:spacing w:val="0"/>
          <w:color w:val="000000"/>
          <w:position w:val="0"/>
        </w:rPr>
        <w:t xml:space="preserve"> 660 F. Supp. 2d 6, 8 (D.D.C. 2009), citing 42 U.S.C. § 1437f (2006). The program provides rental assistance in the form of housing vouchers to low income households. </w:t>
      </w:r>
      <w:r>
        <w:rPr>
          <w:rStyle w:val="CharStyle14"/>
        </w:rPr>
        <w:t>Lauderhill Hous. Auth. v. Donovan,</w:t>
      </w:r>
      <w:r>
        <w:rPr>
          <w:lang w:val="en-US" w:eastAsia="en-US" w:bidi="en-US"/>
          <w:sz w:val="24"/>
          <w:szCs w:val="24"/>
          <w:rFonts w:ascii="Times New Roman" w:eastAsia="Times New Roman" w:hAnsi="Times New Roman" w:cs="Times New Roman"/>
          <w:w w:val="100"/>
          <w:spacing w:val="0"/>
          <w:color w:val="000000"/>
          <w:position w:val="0"/>
        </w:rPr>
        <w:t xml:space="preserve"> 818 F. Supp. 2d 185, 186 (D.D.C. 2011). “The federal government allocates funds to local public housing agencies [“PHAs”] through the United States Department of Housing and Urban Development (“HUD”), and the local public housing agencies enter into housing assistance payment contracts with property owners when the agencies agree to subsidize the rent of eligible families.” </w:t>
      </w:r>
      <w:r>
        <w:rPr>
          <w:rStyle w:val="CharStyle14"/>
        </w:rPr>
        <w:t xml:space="preserve">Robinson, </w:t>
      </w:r>
      <w:r>
        <w:rPr>
          <w:lang w:val="en-US" w:eastAsia="en-US" w:bidi="en-US"/>
          <w:sz w:val="24"/>
          <w:szCs w:val="24"/>
          <w:rFonts w:ascii="Times New Roman" w:eastAsia="Times New Roman" w:hAnsi="Times New Roman" w:cs="Times New Roman"/>
          <w:w w:val="100"/>
          <w:spacing w:val="0"/>
          <w:color w:val="000000"/>
          <w:position w:val="0"/>
        </w:rPr>
        <w:t xml:space="preserve">660 F. Supp. 2d at 8. “Because Congress wanted to encourage local decision-making about housing policy, PHAs are entities of state and local governments.” </w:t>
      </w:r>
      <w:r>
        <w:rPr>
          <w:rStyle w:val="CharStyle14"/>
        </w:rPr>
        <w:t>Lauderhill Hous. Auth.,</w:t>
      </w:r>
      <w:r>
        <w:rPr>
          <w:lang w:val="en-US" w:eastAsia="en-US" w:bidi="en-US"/>
          <w:sz w:val="24"/>
          <w:szCs w:val="24"/>
          <w:rFonts w:ascii="Times New Roman" w:eastAsia="Times New Roman" w:hAnsi="Times New Roman" w:cs="Times New Roman"/>
          <w:w w:val="100"/>
          <w:spacing w:val="0"/>
          <w:color w:val="000000"/>
          <w:position w:val="0"/>
        </w:rPr>
        <w:t xml:space="preserve"> 660 F. Supp. 2d at 186, citing 42 U.S.C. § 1437a. The DCHA “govern[s] public housing and implements] the Housing Act of 1937 in the District, and [is] responsible for providing decent, safe, and sanitary dwellings, and related facilities, for persons and families of low-and moderate- income in the District.” D.C. Code § 6-202(b).</w:t>
      </w:r>
    </w:p>
    <w:p>
      <w:pPr>
        <w:pStyle w:val="Style15"/>
        <w:numPr>
          <w:ilvl w:val="0"/>
          <w:numId w:val="3"/>
        </w:numPr>
        <w:tabs>
          <w:tab w:leader="none" w:pos="480" w:val="left"/>
        </w:tabs>
        <w:widowControl w:val="0"/>
        <w:keepNext/>
        <w:keepLines/>
        <w:shd w:val="clear" w:color="auto" w:fill="auto"/>
        <w:bidi w:val="0"/>
        <w:jc w:val="both"/>
        <w:spacing w:before="0" w:after="0" w:line="552" w:lineRule="exact"/>
        <w:ind w:left="0" w:right="0" w:firstLine="0"/>
      </w:pPr>
      <w:bookmarkStart w:id="5" w:name="bookmark5"/>
      <w:r>
        <w:rPr>
          <w:lang w:val="en-US" w:eastAsia="en-US" w:bidi="en-US"/>
          <w:sz w:val="24"/>
          <w:szCs w:val="24"/>
          <w:rFonts w:ascii="Times New Roman" w:eastAsia="Times New Roman" w:hAnsi="Times New Roman" w:cs="Times New Roman"/>
          <w:w w:val="100"/>
          <w:spacing w:val="0"/>
          <w:color w:val="000000"/>
          <w:position w:val="0"/>
        </w:rPr>
        <w:t>Standing</w:t>
      </w:r>
      <w:bookmarkEnd w:id="5"/>
    </w:p>
    <w:p>
      <w:pPr>
        <w:pStyle w:val="Style4"/>
        <w:widowControl w:val="0"/>
        <w:keepNext w:val="0"/>
        <w:keepLines w:val="0"/>
        <w:shd w:val="clear" w:color="auto" w:fill="auto"/>
        <w:bidi w:val="0"/>
        <w:jc w:val="both"/>
        <w:spacing w:before="0" w:after="0"/>
        <w:ind w:left="0" w:right="0" w:firstLine="740"/>
      </w:pPr>
      <w:r>
        <w:rPr>
          <w:lang w:val="en-US" w:eastAsia="en-US" w:bidi="en-US"/>
          <w:sz w:val="24"/>
          <w:szCs w:val="24"/>
          <w:rFonts w:ascii="Times New Roman" w:eastAsia="Times New Roman" w:hAnsi="Times New Roman" w:cs="Times New Roman"/>
          <w:w w:val="100"/>
          <w:spacing w:val="0"/>
          <w:color w:val="000000"/>
          <w:position w:val="0"/>
        </w:rPr>
        <w:t xml:space="preserve">DCHA contends that plaintiff lacks standing because he is seeking injunctive relief not for any injury he suffered but rather for that suffered by “unnamed tenants.” Def.’s Mem. at 3 [Dkt. # 17]. Plaintiff does not dispute DCHA’s characterization of the complaint but instead cites </w:t>
      </w:r>
      <w:r>
        <w:rPr>
          <w:rStyle w:val="CharStyle14"/>
        </w:rPr>
        <w:t>Ashton v. Pierce,</w:t>
      </w:r>
      <w:r>
        <w:rPr>
          <w:lang w:val="en-US" w:eastAsia="en-US" w:bidi="en-US"/>
          <w:sz w:val="24"/>
          <w:szCs w:val="24"/>
          <w:rFonts w:ascii="Times New Roman" w:eastAsia="Times New Roman" w:hAnsi="Times New Roman" w:cs="Times New Roman"/>
          <w:w w:val="100"/>
          <w:spacing w:val="0"/>
          <w:color w:val="000000"/>
          <w:position w:val="0"/>
        </w:rPr>
        <w:t xml:space="preserve"> 716 F.2d 56 (D.C. Cir. 1983), for the proposition that he may “sue as Next Friend, and on the behalf of others regarding lead poisoning under HUD regulations pursuant to 42 U.S.C. Sec. 4822 (1976).” Pl.’s Opp’n at 2 [Dkt. # 27]. But the court has already explained that “absent narrow exceptions not apparent here, ‘parties may plead and conduct their own cases [in federal court] personally or by [licensed] counsel,’ ” Sept. 1, 2016 Order at 1, quoting 28 U.S.C. § 1654, and plaintiff has not satisfied the demanding requirements to proceed as a next friend. </w:t>
      </w:r>
      <w:r>
        <w:rPr>
          <w:rStyle w:val="CharStyle14"/>
        </w:rPr>
        <w:t>See</w:t>
      </w:r>
      <w:r>
        <w:rPr>
          <w:lang w:val="en-US" w:eastAsia="en-US" w:bidi="en-US"/>
          <w:sz w:val="24"/>
          <w:szCs w:val="24"/>
          <w:rFonts w:ascii="Times New Roman" w:eastAsia="Times New Roman" w:hAnsi="Times New Roman" w:cs="Times New Roman"/>
          <w:w w:val="100"/>
          <w:spacing w:val="0"/>
          <w:color w:val="000000"/>
          <w:position w:val="0"/>
        </w:rPr>
        <w:t xml:space="preserve"> Fed. R. Civ. P. 17 (permitting “an incompetent person who does not have a duly appointed representative [to] sue by a next friend”); </w:t>
      </w:r>
      <w:r>
        <w:rPr>
          <w:rStyle w:val="CharStyle14"/>
        </w:rPr>
        <w:t>Ali Jaber v. United States,</w:t>
      </w:r>
      <w:r>
        <w:rPr>
          <w:lang w:val="en-US" w:eastAsia="en-US" w:bidi="en-US"/>
          <w:sz w:val="24"/>
          <w:szCs w:val="24"/>
          <w:rFonts w:ascii="Times New Roman" w:eastAsia="Times New Roman" w:hAnsi="Times New Roman" w:cs="Times New Roman"/>
          <w:w w:val="100"/>
          <w:spacing w:val="0"/>
          <w:color w:val="000000"/>
          <w:position w:val="0"/>
        </w:rPr>
        <w:t xml:space="preserve"> 155 F. Supp. 3d 70, 75 (D.D.C. 2016) (explaining that a “ ‘next friend’ must provide an adequate explanation— such as inaccessibility, mental incompetence, or other disability—why the real party in interest cannot appear on his own behalf to prosecute the action[;] . . . must be truly dedicated to the best interests of the person on whose behalf he seeks to litigate[;] and . . . must have some significant relationship with the real party in interest,” quoting </w:t>
      </w:r>
      <w:r>
        <w:rPr>
          <w:rStyle w:val="CharStyle14"/>
        </w:rPr>
        <w:t>Whitmore v. Arkansas,</w:t>
      </w:r>
      <w:r>
        <w:rPr>
          <w:lang w:val="en-US" w:eastAsia="en-US" w:bidi="en-US"/>
          <w:sz w:val="24"/>
          <w:szCs w:val="24"/>
          <w:rFonts w:ascii="Times New Roman" w:eastAsia="Times New Roman" w:hAnsi="Times New Roman" w:cs="Times New Roman"/>
          <w:w w:val="100"/>
          <w:spacing w:val="0"/>
          <w:color w:val="000000"/>
          <w:position w:val="0"/>
        </w:rPr>
        <w:t xml:space="preserve"> 495 U.S. 149, 163-64 (1990)).</w:t>
      </w:r>
    </w:p>
    <w:p>
      <w:pPr>
        <w:pStyle w:val="Style15"/>
        <w:numPr>
          <w:ilvl w:val="0"/>
          <w:numId w:val="3"/>
        </w:numPr>
        <w:tabs>
          <w:tab w:leader="none" w:pos="480" w:val="left"/>
        </w:tabs>
        <w:widowControl w:val="0"/>
        <w:keepNext/>
        <w:keepLines/>
        <w:shd w:val="clear" w:color="auto" w:fill="auto"/>
        <w:bidi w:val="0"/>
        <w:jc w:val="both"/>
        <w:spacing w:before="0" w:after="0" w:line="552" w:lineRule="exact"/>
        <w:ind w:left="0" w:right="0" w:firstLine="0"/>
      </w:pPr>
      <w:bookmarkStart w:id="6" w:name="bookmark6"/>
      <w:r>
        <w:rPr>
          <w:lang w:val="en-US" w:eastAsia="en-US" w:bidi="en-US"/>
          <w:sz w:val="24"/>
          <w:szCs w:val="24"/>
          <w:rFonts w:ascii="Times New Roman" w:eastAsia="Times New Roman" w:hAnsi="Times New Roman" w:cs="Times New Roman"/>
          <w:w w:val="100"/>
          <w:spacing w:val="0"/>
          <w:color w:val="000000"/>
          <w:position w:val="0"/>
        </w:rPr>
        <w:t>Mootness</w:t>
      </w:r>
      <w:bookmarkEnd w:id="6"/>
    </w:p>
    <w:p>
      <w:pPr>
        <w:pStyle w:val="Style4"/>
        <w:widowControl w:val="0"/>
        <w:keepNext w:val="0"/>
        <w:keepLines w:val="0"/>
        <w:shd w:val="clear" w:color="auto" w:fill="auto"/>
        <w:bidi w:val="0"/>
        <w:jc w:val="both"/>
        <w:spacing w:before="0" w:after="0"/>
        <w:ind w:left="0" w:right="0" w:firstLine="740"/>
      </w:pPr>
      <w:r>
        <w:rPr>
          <w:lang w:val="en-US" w:eastAsia="en-US" w:bidi="en-US"/>
          <w:sz w:val="24"/>
          <w:szCs w:val="24"/>
          <w:rFonts w:ascii="Times New Roman" w:eastAsia="Times New Roman" w:hAnsi="Times New Roman" w:cs="Times New Roman"/>
          <w:w w:val="100"/>
          <w:spacing w:val="0"/>
          <w:color w:val="000000"/>
          <w:position w:val="0"/>
        </w:rPr>
        <w:t>Even if plaintiff were seeking equitable relief for himself, his relocation to New York renders this suit moot because plaintiff is no longer a tenant in public housing for which DCHA</w:t>
        <w:br w:type="page"/>
        <w:t xml:space="preserve">is responsible. And, as a general rule applicable here, “the Declaratory Judgment Act ‘is not an independent source of federal jurisdiction’ ” but only “presupposes the existence of a judicially remediable right.” </w:t>
      </w:r>
      <w:r>
        <w:rPr>
          <w:rStyle w:val="CharStyle14"/>
        </w:rPr>
        <w:t>C&amp;E Servs., Inc. v. D.C. Water &amp; Sewer Auth,</w:t>
      </w:r>
      <w:r>
        <w:rPr>
          <w:lang w:val="en-US" w:eastAsia="en-US" w:bidi="en-US"/>
          <w:sz w:val="24"/>
          <w:szCs w:val="24"/>
          <w:rFonts w:ascii="Times New Roman" w:eastAsia="Times New Roman" w:hAnsi="Times New Roman" w:cs="Times New Roman"/>
          <w:w w:val="100"/>
          <w:spacing w:val="0"/>
          <w:color w:val="000000"/>
          <w:position w:val="0"/>
        </w:rPr>
        <w:t xml:space="preserve"> 310 F.3d 197, 201 (D.C. Cir. 2002), quoting </w:t>
      </w:r>
      <w:r>
        <w:rPr>
          <w:rStyle w:val="CharStyle14"/>
        </w:rPr>
        <w:t>Schilling v. Rogers,</w:t>
      </w:r>
      <w:r>
        <w:rPr>
          <w:lang w:val="en-US" w:eastAsia="en-US" w:bidi="en-US"/>
          <w:sz w:val="24"/>
          <w:szCs w:val="24"/>
          <w:rFonts w:ascii="Times New Roman" w:eastAsia="Times New Roman" w:hAnsi="Times New Roman" w:cs="Times New Roman"/>
          <w:w w:val="100"/>
          <w:spacing w:val="0"/>
          <w:color w:val="000000"/>
          <w:position w:val="0"/>
        </w:rPr>
        <w:t xml:space="preserve"> 363 U.S. 666, 677 (1960). Therefore, a court may dismiss as moot a claim for declaratory relief where, as here, the claim duplicates or is wholly subsumed by another claim that has been dismissed. </w:t>
      </w:r>
      <w:r>
        <w:rPr>
          <w:rStyle w:val="CharStyle14"/>
        </w:rPr>
        <w:t>See City of Houston, Tex. v. Dep</w:t>
      </w:r>
      <w:r>
        <w:rPr>
          <w:rStyle w:val="CharStyle17"/>
        </w:rPr>
        <w:t>'</w:t>
      </w:r>
      <w:r>
        <w:rPr>
          <w:rStyle w:val="CharStyle14"/>
        </w:rPr>
        <w:t>t of Hous. &amp; Urban Def,</w:t>
      </w:r>
      <w:r>
        <w:rPr>
          <w:lang w:val="en-US" w:eastAsia="en-US" w:bidi="en-US"/>
          <w:sz w:val="24"/>
          <w:szCs w:val="24"/>
          <w:rFonts w:ascii="Times New Roman" w:eastAsia="Times New Roman" w:hAnsi="Times New Roman" w:cs="Times New Roman"/>
          <w:w w:val="100"/>
          <w:spacing w:val="0"/>
          <w:color w:val="000000"/>
          <w:position w:val="0"/>
        </w:rPr>
        <w:t xml:space="preserve"> 24 F.3d 1421, 1429 (D.C. Cir. 1994).</w:t>
      </w:r>
    </w:p>
    <w:p>
      <w:pPr>
        <w:pStyle w:val="Style7"/>
        <w:widowControl w:val="0"/>
        <w:keepNext w:val="0"/>
        <w:keepLines w:val="0"/>
        <w:shd w:val="clear" w:color="auto" w:fill="auto"/>
        <w:bidi w:val="0"/>
        <w:jc w:val="center"/>
        <w:spacing w:before="0" w:after="0" w:line="547" w:lineRule="exact"/>
        <w:ind w:left="0" w:right="20" w:firstLine="0"/>
      </w:pPr>
      <w:r>
        <w:rPr>
          <w:lang w:val="en-US" w:eastAsia="en-US" w:bidi="en-US"/>
          <w:sz w:val="24"/>
          <w:szCs w:val="24"/>
          <w:rFonts w:ascii="Times New Roman" w:eastAsia="Times New Roman" w:hAnsi="Times New Roman" w:cs="Times New Roman"/>
          <w:w w:val="100"/>
          <w:spacing w:val="0"/>
          <w:color w:val="000000"/>
          <w:position w:val="0"/>
        </w:rPr>
        <w:t>CONCLUSION</w:t>
      </w:r>
    </w:p>
    <w:p>
      <w:pPr>
        <w:pStyle w:val="Style4"/>
        <w:widowControl w:val="0"/>
        <w:keepNext w:val="0"/>
        <w:keepLines w:val="0"/>
        <w:shd w:val="clear" w:color="auto" w:fill="auto"/>
        <w:bidi w:val="0"/>
        <w:jc w:val="both"/>
        <w:spacing w:before="0" w:after="790" w:line="547" w:lineRule="exact"/>
        <w:ind w:left="0" w:right="0" w:firstLine="760"/>
      </w:pPr>
      <w:r>
        <w:rPr>
          <w:lang w:val="en-US" w:eastAsia="en-US" w:bidi="en-US"/>
          <w:sz w:val="24"/>
          <w:szCs w:val="24"/>
          <w:rFonts w:ascii="Times New Roman" w:eastAsia="Times New Roman" w:hAnsi="Times New Roman" w:cs="Times New Roman"/>
          <w:w w:val="100"/>
          <w:spacing w:val="0"/>
          <w:color w:val="000000"/>
          <w:position w:val="0"/>
        </w:rPr>
        <w:t>The court concludes that plaintiff lacks standing to sue on behalf of tenants of Section 8 housing in the District of Columbia and that this action is otherwise moot now that plaintiff is no longer a tenant of said housing. Consequently, this case will be dismissed for want of subject matter jurisdiction. A separate order will issue.</w:t>
      </w:r>
    </w:p>
    <w:p>
      <w:pPr>
        <w:pStyle w:val="Style18"/>
        <w:tabs>
          <w:tab w:leader="hyphen" w:pos="2429" w:val="left"/>
        </w:tabs>
        <w:widowControl w:val="0"/>
        <w:keepNext/>
        <w:keepLines/>
        <w:shd w:val="clear" w:color="auto" w:fill="auto"/>
        <w:bidi w:val="0"/>
        <w:spacing w:before="0" w:after="811"/>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1.65pt;margin-top:-8.9pt;width:48.5pt;height:68.65pt;z-index:-125829374;mso-wrap-distance-left:5.pt;mso-wrap-distance-top:39.1pt;mso-wrap-distance-right:8.4pt;mso-position-horizontal-relative:margin" wrapcoords="0 0 21600 0 21600 21600 0 21600 0 0">
            <v:imagedata r:id="rId5" r:href="rId6"/>
            <w10:wrap type="square" side="right" anchorx="margin"/>
          </v:shape>
        </w:pict>
      </w:r>
      <w:bookmarkStart w:id="7" w:name="bookmark7"/>
      <w:r>
        <w:rPr>
          <w:lang w:val="en-US" w:eastAsia="en-US" w:bidi="en-US"/>
          <w:rFonts w:ascii="Times New Roman" w:eastAsia="Times New Roman" w:hAnsi="Times New Roman" w:cs="Times New Roman"/>
          <w:w w:val="100"/>
          <w:spacing w:val="0"/>
          <w:color w:val="000000"/>
          <w:position w:val="0"/>
        </w:rPr>
        <w:t>'</w:t>
      </w:r>
      <w:r>
        <w:rPr>
          <w:rStyle w:val="CharStyle20"/>
          <w:b w:val="0"/>
          <w:bCs w:val="0"/>
        </w:rPr>
        <w:t>5</w:t>
      </w:r>
      <w:r>
        <w:rPr>
          <w:lang w:val="en-US" w:eastAsia="en-US" w:bidi="en-US"/>
          <w:rFonts w:ascii="Times New Roman" w:eastAsia="Times New Roman" w:hAnsi="Times New Roman" w:cs="Times New Roman"/>
          <w:w w:val="100"/>
          <w:spacing w:val="0"/>
          <w:color w:val="000000"/>
          <w:position w:val="0"/>
        </w:rPr>
        <w:t>^(</w:t>
      </w:r>
      <w:r>
        <w:rPr>
          <w:rStyle w:val="CharStyle20"/>
          <w:b w:val="0"/>
          <w:bCs w:val="0"/>
        </w:rPr>
        <w:t>6</w:t>
      </w:r>
      <w:r>
        <w:rPr>
          <w:lang w:val="en-US" w:eastAsia="en-US" w:bidi="en-US"/>
          <w:rFonts w:ascii="Times New Roman" w:eastAsia="Times New Roman" w:hAnsi="Times New Roman" w:cs="Times New Roman"/>
          <w:w w:val="100"/>
          <w:spacing w:val="0"/>
          <w:color w:val="000000"/>
          <w:position w:val="0"/>
        </w:rPr>
        <w:t>^</w:t>
        <w:tab/>
      </w:r>
      <w:bookmarkEnd w:id="7"/>
    </w:p>
    <w:p>
      <w:pPr>
        <w:pStyle w:val="Style4"/>
        <w:widowControl w:val="0"/>
        <w:keepNext w:val="0"/>
        <w:keepLines w:val="0"/>
        <w:shd w:val="clear" w:color="auto" w:fill="auto"/>
        <w:bidi w:val="0"/>
        <w:jc w:val="left"/>
        <w:spacing w:before="0" w:after="0" w:line="322" w:lineRule="exact"/>
        <w:ind w:left="5080" w:right="1560" w:firstLine="0"/>
      </w:pPr>
      <w:r>
        <w:rPr>
          <w:lang w:val="en-US" w:eastAsia="en-US" w:bidi="en-US"/>
          <w:sz w:val="24"/>
          <w:szCs w:val="24"/>
          <w:rFonts w:ascii="Times New Roman" w:eastAsia="Times New Roman" w:hAnsi="Times New Roman" w:cs="Times New Roman"/>
          <w:w w:val="100"/>
          <w:spacing w:val="0"/>
          <w:color w:val="000000"/>
          <w:position w:val="0"/>
        </w:rPr>
        <w:t>AMY BERMAN JACKSON United States District Judge</w:t>
      </w:r>
    </w:p>
    <w:p>
      <w:pPr>
        <w:pStyle w:val="Style4"/>
        <w:widowControl w:val="0"/>
        <w:keepNext w:val="0"/>
        <w:keepLines w:val="0"/>
        <w:shd w:val="clear" w:color="auto" w:fill="auto"/>
        <w:bidi w:val="0"/>
        <w:jc w:val="both"/>
        <w:spacing w:before="0" w:after="0" w:line="322" w:lineRule="exact"/>
        <w:ind w:left="0" w:right="0" w:firstLine="0"/>
      </w:pPr>
      <w:r>
        <w:rPr>
          <w:lang w:val="en-US" w:eastAsia="en-US" w:bidi="en-US"/>
          <w:sz w:val="24"/>
          <w:szCs w:val="24"/>
          <w:rFonts w:ascii="Times New Roman" w:eastAsia="Times New Roman" w:hAnsi="Times New Roman" w:cs="Times New Roman"/>
          <w:w w:val="100"/>
          <w:spacing w:val="0"/>
          <w:color w:val="000000"/>
          <w:position w:val="0"/>
        </w:rPr>
        <w:t>DATE: May 31, 2017</w:t>
      </w:r>
    </w:p>
    <w:sectPr>
      <w:footerReference w:type="default" r:id="rId7"/>
      <w:footnotePr>
        <w:pos w:val="pageBottom"/>
        <w:numFmt w:val="upperRoman"/>
        <w:numRestart w:val="eachPage"/>
      </w:footnotePr>
      <w:pgSz w:w="12240" w:h="15840"/>
      <w:pgMar w:top="1455" w:left="1394" w:right="1389" w:bottom="142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3.7pt;margin-top:733.25pt;width:4.1pt;height:6.9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widowControl w:val="0"/>
        <w:keepNext w:val="0"/>
        <w:keepLines w:val="0"/>
        <w:shd w:val="clear" w:color="auto" w:fill="auto"/>
        <w:bidi w:val="0"/>
        <w:spacing w:before="0" w:after="0"/>
        <w:ind w:left="0" w:right="0" w:firstLine="0"/>
      </w:pPr>
      <w:bookmarkStart w:id="0" w:name="bookmark0"/>
      <w:r>
        <w:rPr>
          <w:lang w:val="en-US" w:eastAsia="en-US" w:bidi="en-US"/>
          <w:vertAlign w:val="superscript"/>
          <w:sz w:val="24"/>
          <w:szCs w:val="24"/>
          <w:rFonts w:ascii="Times New Roman" w:eastAsia="Times New Roman" w:hAnsi="Times New Roman" w:cs="Times New Roman"/>
          <w:w w:val="100"/>
          <w:spacing w:val="0"/>
          <w:color w:val="000000"/>
          <w:position w:val="0"/>
        </w:rPr>
        <w:footnoteRef/>
      </w:r>
      <w:r>
        <w:rPr>
          <w:lang w:val="en-US" w:eastAsia="en-US" w:bidi="en-US"/>
          <w:sz w:val="24"/>
          <w:szCs w:val="24"/>
          <w:rFonts w:ascii="Times New Roman" w:eastAsia="Times New Roman" w:hAnsi="Times New Roman" w:cs="Times New Roman"/>
          <w:w w:val="100"/>
          <w:spacing w:val="0"/>
          <w:color w:val="000000"/>
          <w:position w:val="0"/>
        </w:rPr>
        <w:t xml:space="preserve"> Beginning in early January 2017, orders mailed to plaintiff’s Washington, D.C. address were returned to the Clerk’s Office as undelivered. Plaintiff’s current address of record is in New York, New York.</w:t>
      </w:r>
      <w:bookmarkEnd w:id="0"/>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upperRoman"/>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MSG_EN_FONT_STYLE_NAME_TEMPLATE_ROLE MSG_EN_FONT_STYLE_NAME_BY_ROLE_FOOTNOTE_"/>
    <w:basedOn w:val="DefaultParagraphFont"/>
    <w:link w:val="Style2"/>
    <w:rPr>
      <w:b w:val="0"/>
      <w:bCs w:val="0"/>
      <w:i w:val="0"/>
      <w:iCs w:val="0"/>
      <w:u w:val="none"/>
      <w:strike w:val="0"/>
      <w:smallCaps w:val="0"/>
    </w:rPr>
  </w:style>
  <w:style w:type="character" w:customStyle="1" w:styleId="CharStyle5">
    <w:name w:val="MSG_EN_FONT_STYLE_NAME_TEMPLATE_ROLE_NUMBER MSG_EN_FONT_STYLE_NAME_BY_ROLE_TEXT 2 Exact"/>
    <w:basedOn w:val="DefaultParagraphFont"/>
    <w:rPr>
      <w:b w:val="0"/>
      <w:bCs w:val="0"/>
      <w:i w:val="0"/>
      <w:iCs w:val="0"/>
      <w:u w:val="none"/>
      <w:strike w:val="0"/>
      <w:smallCaps w:val="0"/>
    </w:rPr>
  </w:style>
  <w:style w:type="character" w:customStyle="1" w:styleId="CharStyle6">
    <w:name w:val="MSG_EN_FONT_STYLE_NAME_TEMPLATE_ROLE_NUMBER MSG_EN_FONT_STYLE_NAME_BY_ROLE_TEXT 2 + MSG_EN_FONT_STYLE_MODIFER_ITALIC Exact"/>
    <w:basedOn w:val="CharStyle13"/>
    <w:rPr>
      <w:i/>
      <w:iCs/>
    </w:rPr>
  </w:style>
  <w:style w:type="character" w:customStyle="1" w:styleId="CharStyle8">
    <w:name w:val="MSG_EN_FONT_STYLE_NAME_TEMPLATE_ROLE_NUMBER MSG_EN_FONT_STYLE_NAME_BY_ROLE_TEXT 3_"/>
    <w:basedOn w:val="DefaultParagraphFont"/>
    <w:link w:val="Style7"/>
    <w:rPr>
      <w:b/>
      <w:bCs/>
      <w:i w:val="0"/>
      <w:iCs w:val="0"/>
      <w:u w:val="none"/>
      <w:strike w:val="0"/>
      <w:smallCaps w:val="0"/>
    </w:rPr>
  </w:style>
  <w:style w:type="character" w:customStyle="1" w:styleId="CharStyle10">
    <w:name w:val="MSG_EN_FONT_STYLE_NAME_TEMPLATE_ROLE MSG_EN_FONT_STYLE_NAME_BY_ROLE_RUNNING_TITLE_"/>
    <w:basedOn w:val="DefaultParagraphFont"/>
    <w:link w:val="Style9"/>
    <w:rPr>
      <w:b w:val="0"/>
      <w:bCs w:val="0"/>
      <w:i w:val="0"/>
      <w:iCs w:val="0"/>
      <w:u w:val="none"/>
      <w:strike w:val="0"/>
      <w:smallCaps w:val="0"/>
      <w:sz w:val="21"/>
      <w:szCs w:val="21"/>
    </w:rPr>
  </w:style>
  <w:style w:type="character" w:customStyle="1" w:styleId="CharStyle11">
    <w:name w:val="MSG_EN_FONT_STYLE_NAME_TEMPLATE_ROLE MSG_EN_FONT_STYLE_NAME_BY_ROLE_RUNNING_TITLE"/>
    <w:basedOn w:val="CharStyle10"/>
    <w:rPr>
      <w:lang w:val="en-US" w:eastAsia="en-US" w:bidi="en-US"/>
      <w:rFonts w:ascii="Times New Roman" w:eastAsia="Times New Roman" w:hAnsi="Times New Roman" w:cs="Times New Roman"/>
      <w:w w:val="100"/>
      <w:spacing w:val="0"/>
      <w:color w:val="000000"/>
      <w:position w:val="0"/>
    </w:rPr>
  </w:style>
  <w:style w:type="character" w:customStyle="1" w:styleId="CharStyle12">
    <w:name w:val="MSG_EN_FONT_STYLE_NAME_TEMPLATE_ROLE_NUMBER MSG_EN_FONT_STYLE_NAME_BY_ROLE_TEXT 3"/>
    <w:basedOn w:val="CharStyle8"/>
    <w:rPr>
      <w:lang w:val="en-US" w:eastAsia="en-US" w:bidi="en-US"/>
      <w:u w:val="single"/>
      <w:sz w:val="24"/>
      <w:szCs w:val="24"/>
      <w:rFonts w:ascii="Times New Roman" w:eastAsia="Times New Roman" w:hAnsi="Times New Roman" w:cs="Times New Roman"/>
      <w:w w:val="100"/>
      <w:spacing w:val="0"/>
      <w:color w:val="000000"/>
      <w:position w:val="0"/>
    </w:rPr>
  </w:style>
  <w:style w:type="character" w:customStyle="1" w:styleId="CharStyle13">
    <w:name w:val="MSG_EN_FONT_STYLE_NAME_TEMPLATE_ROLE_NUMBER MSG_EN_FONT_STYLE_NAME_BY_ROLE_TEXT 2_"/>
    <w:basedOn w:val="DefaultParagraphFont"/>
    <w:link w:val="Style4"/>
    <w:rPr>
      <w:b w:val="0"/>
      <w:bCs w:val="0"/>
      <w:i w:val="0"/>
      <w:iCs w:val="0"/>
      <w:u w:val="none"/>
      <w:strike w:val="0"/>
      <w:smallCaps w:val="0"/>
    </w:rPr>
  </w:style>
  <w:style w:type="character" w:customStyle="1" w:styleId="CharStyle14">
    <w:name w:val="MSG_EN_FONT_STYLE_NAME_TEMPLATE_ROLE_NUMBER MSG_EN_FONT_STYLE_NAME_BY_ROLE_TEXT 2 + MSG_EN_FONT_STYLE_MODIFER_ITALIC"/>
    <w:basedOn w:val="CharStyle13"/>
    <w:rPr>
      <w:lang w:val="en-US" w:eastAsia="en-US" w:bidi="en-US"/>
      <w:i/>
      <w:iCs/>
      <w:sz w:val="24"/>
      <w:szCs w:val="24"/>
      <w:rFonts w:ascii="Times New Roman" w:eastAsia="Times New Roman" w:hAnsi="Times New Roman" w:cs="Times New Roman"/>
      <w:w w:val="100"/>
      <w:spacing w:val="0"/>
      <w:color w:val="000000"/>
      <w:position w:val="0"/>
    </w:rPr>
  </w:style>
  <w:style w:type="character" w:customStyle="1" w:styleId="CharStyle16">
    <w:name w:val="MSG_EN_FONT_STYLE_NAME_TEMPLATE_ROLE_LEVEL MSG_EN_FONT_STYLE_NAME_BY_ROLE_HEADING 2_"/>
    <w:basedOn w:val="DefaultParagraphFont"/>
    <w:link w:val="Style15"/>
    <w:rPr>
      <w:b/>
      <w:bCs/>
      <w:i w:val="0"/>
      <w:iCs w:val="0"/>
      <w:u w:val="none"/>
      <w:strike w:val="0"/>
      <w:smallCaps w:val="0"/>
    </w:rPr>
  </w:style>
  <w:style w:type="character" w:customStyle="1" w:styleId="CharStyle17">
    <w:name w:val="MSG_EN_FONT_STYLE_NAME_TEMPLATE_ROLE_NUMBER MSG_EN_FONT_STYLE_NAME_BY_ROLE_TEXT 2 + MSG_EN_FONT_STYLE_MODIFER_ITALIC"/>
    <w:basedOn w:val="CharStyle13"/>
    <w:rPr>
      <w:lang w:val="en-US" w:eastAsia="en-US" w:bidi="en-US"/>
      <w:i/>
      <w:iCs/>
      <w:sz w:val="24"/>
      <w:szCs w:val="24"/>
      <w:rFonts w:ascii="Times New Roman" w:eastAsia="Times New Roman" w:hAnsi="Times New Roman" w:cs="Times New Roman"/>
      <w:w w:val="100"/>
      <w:spacing w:val="0"/>
      <w:color w:val="B4B4B4"/>
      <w:position w:val="0"/>
    </w:rPr>
  </w:style>
  <w:style w:type="character" w:customStyle="1" w:styleId="CharStyle19">
    <w:name w:val="MSG_EN_FONT_STYLE_NAME_TEMPLATE_ROLE_LEVEL MSG_EN_FONT_STYLE_NAME_BY_ROLE_HEADING 1_"/>
    <w:basedOn w:val="DefaultParagraphFont"/>
    <w:link w:val="Style18"/>
    <w:rPr>
      <w:b/>
      <w:bCs/>
      <w:i w:val="0"/>
      <w:iCs w:val="0"/>
      <w:u w:val="none"/>
      <w:strike w:val="0"/>
      <w:smallCaps w:val="0"/>
      <w:sz w:val="28"/>
      <w:szCs w:val="28"/>
    </w:rPr>
  </w:style>
  <w:style w:type="character" w:customStyle="1" w:styleId="CharStyle20">
    <w:name w:val="MSG_EN_FONT_STYLE_NAME_TEMPLATE_ROLE_LEVEL MSG_EN_FONT_STYLE_NAME_BY_ROLE_HEADING 1 + MSG_EN_FONT_STYLE_MODIFER_NOT_BOLD"/>
    <w:basedOn w:val="CharStyle19"/>
    <w:rPr>
      <w:lang w:val="en-US" w:eastAsia="en-US" w:bidi="en-US"/>
      <w:b/>
      <w:bCs/>
      <w:rFonts w:ascii="Times New Roman" w:eastAsia="Times New Roman" w:hAnsi="Times New Roman" w:cs="Times New Roman"/>
      <w:w w:val="100"/>
      <w:spacing w:val="0"/>
      <w:color w:val="000000"/>
      <w:position w:val="0"/>
    </w:rPr>
  </w:style>
  <w:style w:type="paragraph" w:customStyle="1" w:styleId="Style2">
    <w:name w:val="MSG_EN_FONT_STYLE_NAME_TEMPLATE_ROLE MSG_EN_FONT_STYLE_NAME_BY_ROLE_FOOTNOTE"/>
    <w:basedOn w:val="Normal"/>
    <w:link w:val="CharStyle3"/>
    <w:pPr>
      <w:widowControl w:val="0"/>
      <w:shd w:val="clear" w:color="auto" w:fill="FFFFFF"/>
      <w:jc w:val="both"/>
      <w:spacing w:line="274" w:lineRule="exact"/>
    </w:pPr>
    <w:rPr>
      <w:b w:val="0"/>
      <w:bCs w:val="0"/>
      <w:i w:val="0"/>
      <w:iCs w:val="0"/>
      <w:u w:val="none"/>
      <w:strike w:val="0"/>
      <w:smallCaps w:val="0"/>
    </w:rPr>
  </w:style>
  <w:style w:type="paragraph" w:customStyle="1" w:styleId="Style4">
    <w:name w:val="MSG_EN_FONT_STYLE_NAME_TEMPLATE_ROLE_NUMBER MSG_EN_FONT_STYLE_NAME_BY_ROLE_TEXT 2"/>
    <w:basedOn w:val="Normal"/>
    <w:link w:val="CharStyle13"/>
    <w:pPr>
      <w:widowControl w:val="0"/>
      <w:shd w:val="clear" w:color="auto" w:fill="FFFFFF"/>
      <w:spacing w:line="552" w:lineRule="exact"/>
    </w:pPr>
    <w:rPr>
      <w:b w:val="0"/>
      <w:bCs w:val="0"/>
      <w:i w:val="0"/>
      <w:iCs w:val="0"/>
      <w:u w:val="none"/>
      <w:strike w:val="0"/>
      <w:smallCaps w:val="0"/>
    </w:rPr>
  </w:style>
  <w:style w:type="paragraph" w:customStyle="1" w:styleId="Style7">
    <w:name w:val="MSG_EN_FONT_STYLE_NAME_TEMPLATE_ROLE_NUMBER MSG_EN_FONT_STYLE_NAME_BY_ROLE_TEXT 3"/>
    <w:basedOn w:val="Normal"/>
    <w:link w:val="CharStyle8"/>
    <w:pPr>
      <w:widowControl w:val="0"/>
      <w:shd w:val="clear" w:color="auto" w:fill="FFFFFF"/>
      <w:spacing w:line="278" w:lineRule="exact"/>
    </w:pPr>
    <w:rPr>
      <w:b/>
      <w:bCs/>
      <w:i w:val="0"/>
      <w:iCs w:val="0"/>
      <w:u w:val="none"/>
      <w:strike w:val="0"/>
      <w:smallCaps w:val="0"/>
    </w:rPr>
  </w:style>
  <w:style w:type="paragraph" w:customStyle="1" w:styleId="Style9">
    <w:name w:val="MSG_EN_FONT_STYLE_NAME_TEMPLATE_ROLE MSG_EN_FONT_STYLE_NAME_BY_ROLE_RUNNING_TITLE"/>
    <w:basedOn w:val="Normal"/>
    <w:link w:val="CharStyle10"/>
    <w:pPr>
      <w:widowControl w:val="0"/>
      <w:shd w:val="clear" w:color="auto" w:fill="FFFFFF"/>
      <w:spacing w:line="232" w:lineRule="exact"/>
    </w:pPr>
    <w:rPr>
      <w:b w:val="0"/>
      <w:bCs w:val="0"/>
      <w:i w:val="0"/>
      <w:iCs w:val="0"/>
      <w:u w:val="none"/>
      <w:strike w:val="0"/>
      <w:smallCaps w:val="0"/>
      <w:sz w:val="21"/>
      <w:szCs w:val="21"/>
    </w:rPr>
  </w:style>
  <w:style w:type="paragraph" w:customStyle="1" w:styleId="Style15">
    <w:name w:val="MSG_EN_FONT_STYLE_NAME_TEMPLATE_ROLE_LEVEL MSG_EN_FONT_STYLE_NAME_BY_ROLE_HEADING 2"/>
    <w:basedOn w:val="Normal"/>
    <w:link w:val="CharStyle16"/>
    <w:pPr>
      <w:widowControl w:val="0"/>
      <w:shd w:val="clear" w:color="auto" w:fill="FFFFFF"/>
      <w:outlineLvl w:val="1"/>
      <w:spacing w:line="547" w:lineRule="exact"/>
    </w:pPr>
    <w:rPr>
      <w:b/>
      <w:bCs/>
      <w:i w:val="0"/>
      <w:iCs w:val="0"/>
      <w:u w:val="none"/>
      <w:strike w:val="0"/>
      <w:smallCaps w:val="0"/>
    </w:rPr>
  </w:style>
  <w:style w:type="paragraph" w:customStyle="1" w:styleId="Style18">
    <w:name w:val="MSG_EN_FONT_STYLE_NAME_TEMPLATE_ROLE_LEVEL MSG_EN_FONT_STYLE_NAME_BY_ROLE_HEADING 1"/>
    <w:basedOn w:val="Normal"/>
    <w:link w:val="CharStyle19"/>
    <w:pPr>
      <w:widowControl w:val="0"/>
      <w:shd w:val="clear" w:color="auto" w:fill="FFFFFF"/>
      <w:jc w:val="both"/>
      <w:outlineLvl w:val="0"/>
      <w:spacing w:before="600" w:after="820" w:line="310" w:lineRule="exact"/>
    </w:pPr>
    <w:rPr>
      <w:b/>
      <w:bCs/>
      <w:i w:val="0"/>
      <w:iCs w:val="0"/>
      <w:u w:val="none"/>
      <w:strike w:val="0"/>
      <w:smallCaps w:val="0"/>
      <w:sz w:val="28"/>
      <w:szCs w:val="28"/>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D.C. District &amp; Bankruptcy</dc:creator>
  <cp:keywords/>
</cp:coreProperties>
</file>